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117E3758" w:rsidR="001E09B1" w:rsidRPr="00C40CC3" w:rsidRDefault="001E09B1" w:rsidP="001E09B1">
      <w:pPr>
        <w:pStyle w:val="3GPPHeader"/>
        <w:spacing w:after="60"/>
        <w:rPr>
          <w:sz w:val="26"/>
          <w:szCs w:val="26"/>
          <w:lang w:val="en-US"/>
        </w:rPr>
      </w:pPr>
      <w:bookmarkStart w:id="0" w:name="_Hlk506274156"/>
      <w:bookmarkEnd w:id="0"/>
      <w:r w:rsidRPr="00C40CC3">
        <w:rPr>
          <w:sz w:val="26"/>
          <w:szCs w:val="26"/>
          <w:lang w:val="en-US"/>
        </w:rPr>
        <w:t>3GPP TSG-RAN WG</w:t>
      </w:r>
      <w:r w:rsidR="00231C4F" w:rsidRPr="00C40CC3">
        <w:rPr>
          <w:sz w:val="26"/>
          <w:szCs w:val="26"/>
          <w:lang w:val="en-US"/>
        </w:rPr>
        <w:t xml:space="preserve">3 </w:t>
      </w:r>
      <w:r w:rsidR="008840D6">
        <w:rPr>
          <w:sz w:val="26"/>
          <w:szCs w:val="26"/>
          <w:lang w:val="en-US"/>
        </w:rPr>
        <w:t>Meeting</w:t>
      </w:r>
      <w:r w:rsidR="005B04E2">
        <w:rPr>
          <w:sz w:val="26"/>
          <w:szCs w:val="26"/>
          <w:lang w:val="en-US"/>
        </w:rPr>
        <w:t xml:space="preserve"> </w:t>
      </w:r>
      <w:r w:rsidRPr="00C40CC3">
        <w:rPr>
          <w:sz w:val="26"/>
          <w:szCs w:val="26"/>
          <w:lang w:val="en-US"/>
        </w:rPr>
        <w:t>#10</w:t>
      </w:r>
      <w:r w:rsidR="00231C4F" w:rsidRPr="00C40CC3">
        <w:rPr>
          <w:sz w:val="26"/>
          <w:szCs w:val="26"/>
          <w:lang w:val="en-US"/>
        </w:rPr>
        <w:t>3</w:t>
      </w:r>
      <w:r w:rsidRPr="00C40CC3">
        <w:rPr>
          <w:sz w:val="26"/>
          <w:szCs w:val="26"/>
          <w:lang w:val="en-US"/>
        </w:rPr>
        <w:tab/>
        <w:t>R</w:t>
      </w:r>
      <w:r w:rsidR="00231C4F" w:rsidRPr="00C40CC3">
        <w:rPr>
          <w:sz w:val="26"/>
          <w:szCs w:val="26"/>
          <w:lang w:val="en-US"/>
        </w:rPr>
        <w:t>3</w:t>
      </w:r>
      <w:r w:rsidRPr="00C40CC3">
        <w:rPr>
          <w:sz w:val="26"/>
          <w:szCs w:val="26"/>
          <w:lang w:val="en-US"/>
        </w:rPr>
        <w:t>-</w:t>
      </w:r>
      <w:r w:rsidR="0043369E" w:rsidRPr="00C40CC3">
        <w:rPr>
          <w:sz w:val="26"/>
          <w:szCs w:val="26"/>
          <w:lang w:val="en-US"/>
        </w:rPr>
        <w:t>190</w:t>
      </w:r>
      <w:r w:rsidR="00231C4F" w:rsidRPr="00C40CC3">
        <w:rPr>
          <w:sz w:val="26"/>
          <w:szCs w:val="26"/>
          <w:lang w:val="en-US"/>
        </w:rPr>
        <w:t>360</w:t>
      </w:r>
    </w:p>
    <w:p w14:paraId="7D70255F" w14:textId="51E9A6B1" w:rsidR="001E09B1" w:rsidRPr="00C40CC3" w:rsidRDefault="001E09B1" w:rsidP="001E09B1">
      <w:pPr>
        <w:pStyle w:val="Header"/>
        <w:rPr>
          <w:b w:val="0"/>
          <w:bCs w:val="0"/>
          <w:noProof w:val="0"/>
          <w:sz w:val="26"/>
          <w:szCs w:val="26"/>
        </w:rPr>
      </w:pPr>
      <w:r w:rsidRPr="00C40CC3">
        <w:rPr>
          <w:noProof w:val="0"/>
          <w:sz w:val="26"/>
          <w:szCs w:val="26"/>
        </w:rPr>
        <w:t>Athens, Greece, 25</w:t>
      </w:r>
      <w:r w:rsidRPr="00C40CC3">
        <w:rPr>
          <w:noProof w:val="0"/>
          <w:sz w:val="26"/>
          <w:szCs w:val="26"/>
          <w:vertAlign w:val="superscript"/>
        </w:rPr>
        <w:t>th</w:t>
      </w:r>
      <w:r w:rsidRPr="00C40CC3">
        <w:rPr>
          <w:noProof w:val="0"/>
          <w:sz w:val="26"/>
          <w:szCs w:val="26"/>
        </w:rPr>
        <w:t xml:space="preserve"> February</w:t>
      </w:r>
      <w:r w:rsidRPr="00C40CC3">
        <w:rPr>
          <w:noProof w:val="0"/>
          <w:sz w:val="26"/>
          <w:szCs w:val="26"/>
          <w:vertAlign w:val="superscript"/>
        </w:rPr>
        <w:t xml:space="preserve"> </w:t>
      </w:r>
      <w:r w:rsidRPr="00C40CC3">
        <w:rPr>
          <w:noProof w:val="0"/>
          <w:sz w:val="26"/>
          <w:szCs w:val="26"/>
        </w:rPr>
        <w:t>- 1</w:t>
      </w:r>
      <w:r w:rsidRPr="00C40CC3">
        <w:rPr>
          <w:noProof w:val="0"/>
          <w:sz w:val="26"/>
          <w:szCs w:val="26"/>
          <w:vertAlign w:val="superscript"/>
        </w:rPr>
        <w:t>th</w:t>
      </w:r>
      <w:r w:rsidRPr="00C40CC3">
        <w:rPr>
          <w:noProof w:val="0"/>
          <w:sz w:val="26"/>
          <w:szCs w:val="26"/>
        </w:rPr>
        <w:t xml:space="preserve"> </w:t>
      </w:r>
      <w:r w:rsidR="00772E0E" w:rsidRPr="00C40CC3">
        <w:rPr>
          <w:noProof w:val="0"/>
          <w:sz w:val="26"/>
          <w:szCs w:val="26"/>
        </w:rPr>
        <w:t>March</w:t>
      </w:r>
      <w:r w:rsidRPr="00C40CC3">
        <w:rPr>
          <w:noProof w:val="0"/>
          <w:sz w:val="26"/>
          <w:szCs w:val="26"/>
        </w:rPr>
        <w:t xml:space="preserve"> 2019</w:t>
      </w:r>
    </w:p>
    <w:p w14:paraId="46CB7C74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7A3416CD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Agenda Item:</w:t>
      </w:r>
      <w:r w:rsidRPr="001327AF">
        <w:rPr>
          <w:sz w:val="22"/>
          <w:szCs w:val="22"/>
          <w:lang w:val="en-US"/>
        </w:rPr>
        <w:tab/>
      </w:r>
      <w:r w:rsidR="00231C4F">
        <w:rPr>
          <w:sz w:val="22"/>
          <w:szCs w:val="22"/>
          <w:lang w:val="en-US"/>
        </w:rPr>
        <w:t>13.2.5</w:t>
      </w:r>
    </w:p>
    <w:p w14:paraId="444090E0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Source:</w:t>
      </w:r>
      <w:r w:rsidRPr="001327AF">
        <w:rPr>
          <w:sz w:val="22"/>
          <w:szCs w:val="22"/>
          <w:lang w:val="en-US"/>
        </w:rPr>
        <w:tab/>
        <w:t>Ericsson</w:t>
      </w:r>
    </w:p>
    <w:p w14:paraId="7C02BF68" w14:textId="598975CA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Title:</w:t>
      </w:r>
      <w:r w:rsidRPr="001327AF">
        <w:rPr>
          <w:sz w:val="22"/>
          <w:szCs w:val="22"/>
          <w:lang w:val="en-US"/>
        </w:rPr>
        <w:tab/>
      </w:r>
      <w:r w:rsidR="00985DB7" w:rsidRPr="001327AF">
        <w:rPr>
          <w:sz w:val="22"/>
          <w:szCs w:val="22"/>
          <w:lang w:val="en-US"/>
        </w:rPr>
        <w:t xml:space="preserve">Support for LTE </w:t>
      </w:r>
      <w:r w:rsidR="0053740D">
        <w:rPr>
          <w:sz w:val="22"/>
          <w:szCs w:val="22"/>
          <w:lang w:val="en-US"/>
        </w:rPr>
        <w:t>D</w:t>
      </w:r>
      <w:r w:rsidR="00985DB7" w:rsidRPr="001327AF">
        <w:rPr>
          <w:sz w:val="22"/>
          <w:szCs w:val="22"/>
          <w:lang w:val="en-US"/>
        </w:rPr>
        <w:t xml:space="preserve">eployment at IAB </w:t>
      </w:r>
      <w:r w:rsidR="0053740D">
        <w:rPr>
          <w:sz w:val="22"/>
          <w:szCs w:val="22"/>
          <w:lang w:val="en-US"/>
        </w:rPr>
        <w:t>N</w:t>
      </w:r>
      <w:r w:rsidR="00985DB7" w:rsidRPr="001327AF">
        <w:rPr>
          <w:sz w:val="22"/>
          <w:szCs w:val="22"/>
          <w:lang w:val="en-US"/>
        </w:rPr>
        <w:t xml:space="preserve">ode </w:t>
      </w:r>
      <w:r w:rsidR="0053740D">
        <w:rPr>
          <w:sz w:val="22"/>
          <w:szCs w:val="22"/>
          <w:lang w:val="en-US"/>
        </w:rPr>
        <w:t>S</w:t>
      </w:r>
      <w:r w:rsidR="00985DB7" w:rsidRPr="001327AF">
        <w:rPr>
          <w:sz w:val="22"/>
          <w:szCs w:val="22"/>
          <w:lang w:val="en-US"/>
        </w:rPr>
        <w:t>ites</w:t>
      </w:r>
    </w:p>
    <w:p w14:paraId="1075F76A" w14:textId="3F31584C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</w:r>
      <w:r w:rsidR="007C3D58">
        <w:rPr>
          <w:sz w:val="22"/>
          <w:szCs w:val="22"/>
          <w:lang w:val="en-US"/>
        </w:rPr>
        <w:t>Agreement</w:t>
      </w:r>
      <w:bookmarkStart w:id="1" w:name="_GoBack"/>
      <w:bookmarkEnd w:id="1"/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050B1EE1" w14:textId="4A420299" w:rsidR="00267CC5" w:rsidRPr="001327AF" w:rsidRDefault="00FD7B41" w:rsidP="00633FE7">
      <w:pPr>
        <w:rPr>
          <w:lang w:val="en-US"/>
        </w:rPr>
      </w:pPr>
      <w:r w:rsidRPr="001327AF">
        <w:rPr>
          <w:lang w:val="en-US"/>
        </w:rPr>
        <w:t>At the RAN2</w:t>
      </w:r>
      <w:r w:rsidR="00B741BF" w:rsidRPr="001327AF">
        <w:rPr>
          <w:lang w:val="en-US"/>
        </w:rPr>
        <w:t>#104</w:t>
      </w:r>
      <w:r w:rsidRPr="001327AF">
        <w:rPr>
          <w:lang w:val="en-US"/>
        </w:rPr>
        <w:t xml:space="preserve"> meeting it was agreed to support IP connectivity to </w:t>
      </w:r>
      <w:r w:rsidR="00267CC5" w:rsidRPr="001327AF">
        <w:rPr>
          <w:lang w:val="en-US"/>
        </w:rPr>
        <w:t xml:space="preserve">the IAB node. One of the </w:t>
      </w:r>
      <w:r w:rsidR="00F33C7D" w:rsidRPr="001327AF">
        <w:rPr>
          <w:lang w:val="en-US"/>
        </w:rPr>
        <w:t>drivers</w:t>
      </w:r>
      <w:r w:rsidR="00267CC5" w:rsidRPr="001327AF">
        <w:rPr>
          <w:lang w:val="en-US"/>
        </w:rPr>
        <w:t xml:space="preserve"> for supporting </w:t>
      </w:r>
      <w:r w:rsidR="00F33C7D" w:rsidRPr="001327AF">
        <w:rPr>
          <w:lang w:val="en-US"/>
        </w:rPr>
        <w:t>IP connectivity</w:t>
      </w:r>
      <w:r w:rsidR="00267CC5" w:rsidRPr="001327AF">
        <w:rPr>
          <w:lang w:val="en-US"/>
        </w:rPr>
        <w:t xml:space="preserve"> was to enable operators to </w:t>
      </w:r>
      <w:r w:rsidR="00282D78" w:rsidRPr="001327AF">
        <w:rPr>
          <w:lang w:val="en-US"/>
        </w:rPr>
        <w:t xml:space="preserve">provide </w:t>
      </w:r>
      <w:r w:rsidR="0079229A" w:rsidRPr="001327AF">
        <w:rPr>
          <w:lang w:val="en-US"/>
        </w:rPr>
        <w:t>backhaul also for other IP</w:t>
      </w:r>
      <w:r w:rsidR="007D0C04" w:rsidRPr="001327AF">
        <w:rPr>
          <w:lang w:val="en-US"/>
        </w:rPr>
        <w:t>-</w:t>
      </w:r>
      <w:r w:rsidR="00B82194" w:rsidRPr="001327AF">
        <w:rPr>
          <w:lang w:val="en-US"/>
        </w:rPr>
        <w:t xml:space="preserve">connected equipment at the IAB site, including LTE eNBs. This paper discusses how LTE eNBs </w:t>
      </w:r>
      <w:r w:rsidR="000C227B" w:rsidRPr="001327AF">
        <w:rPr>
          <w:lang w:val="en-US"/>
        </w:rPr>
        <w:t xml:space="preserve">over IAB backhaul </w:t>
      </w:r>
      <w:r w:rsidR="00B82194" w:rsidRPr="001327AF">
        <w:rPr>
          <w:lang w:val="en-US"/>
        </w:rPr>
        <w:t xml:space="preserve">can be supported </w:t>
      </w:r>
      <w:r w:rsidR="00C3575E" w:rsidRPr="001327AF">
        <w:rPr>
          <w:lang w:val="en-US"/>
        </w:rPr>
        <w:t>with minimum impacts.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3E5215DA" w14:textId="32A4B638" w:rsidR="00C16AB4" w:rsidRPr="001327AF" w:rsidRDefault="00E76A66" w:rsidP="003F7F2D">
      <w:pPr>
        <w:rPr>
          <w:lang w:val="en-US"/>
        </w:rPr>
      </w:pPr>
      <w:r w:rsidRPr="001327AF">
        <w:rPr>
          <w:lang w:val="en-US"/>
        </w:rPr>
        <w:t xml:space="preserve">As part of the IAB node integration the IAB node will register to the network and obtain one or more IP addresses. </w:t>
      </w:r>
      <w:r w:rsidRPr="00F82E7E">
        <w:rPr>
          <w:lang w:val="en-US"/>
        </w:rPr>
        <w:t xml:space="preserve">In </w:t>
      </w:r>
      <w:r w:rsidR="00177732" w:rsidRPr="00F82E7E">
        <w:rPr>
          <w:lang w:val="en-US"/>
        </w:rPr>
        <w:t>[</w:t>
      </w:r>
      <w:r w:rsidR="00F82E7E" w:rsidRPr="00F82E7E">
        <w:rPr>
          <w:lang w:val="en-US"/>
        </w:rPr>
        <w:t>1</w:t>
      </w:r>
      <w:r w:rsidR="00177732" w:rsidRPr="00F82E7E">
        <w:rPr>
          <w:lang w:val="en-US"/>
        </w:rPr>
        <w:t>] it</w:t>
      </w:r>
      <w:r w:rsidR="00177732" w:rsidRPr="001327AF">
        <w:rPr>
          <w:lang w:val="en-US"/>
        </w:rPr>
        <w:t xml:space="preserve"> is argued that DHCP could be used to obtain IP addresses. </w:t>
      </w:r>
    </w:p>
    <w:p w14:paraId="37EEFB2D" w14:textId="0252DB13" w:rsidR="007F2C37" w:rsidRPr="001327AF" w:rsidRDefault="00700CAB" w:rsidP="003F7F2D">
      <w:pPr>
        <w:rPr>
          <w:lang w:val="en-US"/>
        </w:rPr>
      </w:pPr>
      <w:r w:rsidRPr="001327AF">
        <w:rPr>
          <w:lang w:val="en-US"/>
        </w:rPr>
        <w:t xml:space="preserve">With </w:t>
      </w:r>
      <w:r w:rsidR="003B7EB5" w:rsidRPr="001327AF">
        <w:rPr>
          <w:lang w:val="en-US"/>
        </w:rPr>
        <w:t>such a solution it would be easy for the IAB node to also offer IP connectivity services to external devices e.g. using ethernet ports.</w:t>
      </w:r>
      <w:r w:rsidR="003C63E2" w:rsidRPr="001327AF">
        <w:rPr>
          <w:lang w:val="en-US"/>
        </w:rPr>
        <w:t xml:space="preserve"> IP address assignment </w:t>
      </w:r>
      <w:r w:rsidR="00332E0F" w:rsidRPr="001327AF">
        <w:rPr>
          <w:lang w:val="en-US"/>
        </w:rPr>
        <w:t xml:space="preserve">for these external devices </w:t>
      </w:r>
      <w:r w:rsidR="003C63E2" w:rsidRPr="001327AF">
        <w:rPr>
          <w:lang w:val="en-US"/>
        </w:rPr>
        <w:t xml:space="preserve">can be done using DHCP, </w:t>
      </w:r>
      <w:r w:rsidR="00781086" w:rsidRPr="001327AF">
        <w:rPr>
          <w:lang w:val="en-US"/>
        </w:rPr>
        <w:t xml:space="preserve">where </w:t>
      </w:r>
      <w:r w:rsidR="003C63E2" w:rsidRPr="001327AF">
        <w:rPr>
          <w:lang w:val="en-US"/>
        </w:rPr>
        <w:t xml:space="preserve">the IAB node can act as a DHCP relay. QoS </w:t>
      </w:r>
      <w:r w:rsidR="0025765B" w:rsidRPr="001327AF">
        <w:rPr>
          <w:lang w:val="en-US"/>
        </w:rPr>
        <w:t xml:space="preserve">support </w:t>
      </w:r>
      <w:r w:rsidR="007C243D" w:rsidRPr="001327AF">
        <w:rPr>
          <w:lang w:val="en-US"/>
        </w:rPr>
        <w:t xml:space="preserve">can be provided based on DSCP/IP flow labels. The IAB node and Donor DU can map </w:t>
      </w:r>
      <w:r w:rsidR="002F4D02" w:rsidRPr="001327AF">
        <w:rPr>
          <w:lang w:val="en-US"/>
        </w:rPr>
        <w:t xml:space="preserve">the DSCP to backhaul bearers. </w:t>
      </w:r>
    </w:p>
    <w:p w14:paraId="673F4799" w14:textId="12C8E74A" w:rsidR="008646FE" w:rsidRPr="001327AF" w:rsidRDefault="007F2C37" w:rsidP="003F7F2D">
      <w:pPr>
        <w:rPr>
          <w:lang w:val="en-US"/>
        </w:rPr>
      </w:pPr>
      <w:r w:rsidRPr="001327AF">
        <w:rPr>
          <w:lang w:val="en-US"/>
        </w:rPr>
        <w:t xml:space="preserve">This solution </w:t>
      </w:r>
      <w:r w:rsidR="001C2DF3" w:rsidRPr="001327AF">
        <w:rPr>
          <w:lang w:val="en-US"/>
        </w:rPr>
        <w:t xml:space="preserve">can </w:t>
      </w:r>
      <w:r w:rsidRPr="001327AF">
        <w:rPr>
          <w:lang w:val="en-US"/>
        </w:rPr>
        <w:t xml:space="preserve">be used to support LTE eNBs at the IAB site. In this case the S1 and X2 interfaces for the LTE eNBs will be backhauled </w:t>
      </w:r>
      <w:r w:rsidR="000A220A" w:rsidRPr="001327AF">
        <w:rPr>
          <w:lang w:val="en-US"/>
        </w:rPr>
        <w:t xml:space="preserve">over the IAB backhaul RLC channels as illustrated in </w:t>
      </w:r>
      <w:r w:rsidR="00C20A53">
        <w:rPr>
          <w:lang w:val="en-US"/>
        </w:rPr>
        <w:t>F</w:t>
      </w:r>
      <w:r w:rsidR="000A220A" w:rsidRPr="001327AF">
        <w:rPr>
          <w:lang w:val="en-US"/>
        </w:rPr>
        <w:t xml:space="preserve">igure </w:t>
      </w:r>
      <w:r w:rsidR="00C20A53">
        <w:rPr>
          <w:lang w:val="en-US"/>
        </w:rPr>
        <w:t>1</w:t>
      </w:r>
      <w:r w:rsidR="000A220A" w:rsidRPr="001327AF">
        <w:rPr>
          <w:lang w:val="en-US"/>
        </w:rPr>
        <w:t xml:space="preserve">. The </w:t>
      </w:r>
      <w:r w:rsidR="003F7F2D" w:rsidRPr="001327AF">
        <w:rPr>
          <w:lang w:val="en-US"/>
        </w:rPr>
        <w:t xml:space="preserve">LTE eNBs / S-GWs should </w:t>
      </w:r>
      <w:r w:rsidR="000A220A" w:rsidRPr="001327AF">
        <w:rPr>
          <w:lang w:val="en-US"/>
        </w:rPr>
        <w:t>(</w:t>
      </w:r>
      <w:r w:rsidR="001327AF" w:rsidRPr="001327AF">
        <w:rPr>
          <w:lang w:val="en-US"/>
        </w:rPr>
        <w:t>a</w:t>
      </w:r>
      <w:r w:rsidR="000A220A" w:rsidRPr="001327AF">
        <w:rPr>
          <w:lang w:val="en-US"/>
        </w:rPr>
        <w:t xml:space="preserve">ccording to TS 36.414) </w:t>
      </w:r>
      <w:r w:rsidR="003F7F2D" w:rsidRPr="001327AF">
        <w:rPr>
          <w:lang w:val="en-US"/>
        </w:rPr>
        <w:t xml:space="preserve">support configurable mapping between QoS QCIs and other traffic parameters to </w:t>
      </w:r>
      <w:proofErr w:type="spellStart"/>
      <w:r w:rsidR="003F7F2D" w:rsidRPr="001327AF">
        <w:rPr>
          <w:lang w:val="en-US"/>
        </w:rPr>
        <w:t>Diff</w:t>
      </w:r>
      <w:r w:rsidR="00986926" w:rsidRPr="001327AF">
        <w:rPr>
          <w:lang w:val="en-US"/>
        </w:rPr>
        <w:t>S</w:t>
      </w:r>
      <w:r w:rsidR="003F7F2D" w:rsidRPr="001327AF">
        <w:rPr>
          <w:lang w:val="en-US"/>
        </w:rPr>
        <w:t>erv</w:t>
      </w:r>
      <w:proofErr w:type="spellEnd"/>
      <w:r w:rsidR="003F7F2D" w:rsidRPr="001327AF">
        <w:rPr>
          <w:lang w:val="en-US"/>
        </w:rPr>
        <w:t xml:space="preserve"> code points</w:t>
      </w:r>
      <w:r w:rsidR="001327AF">
        <w:rPr>
          <w:lang w:val="en-US"/>
        </w:rPr>
        <w:t xml:space="preserve"> (DSCP)</w:t>
      </w:r>
      <w:r w:rsidR="000A220A" w:rsidRPr="001327AF">
        <w:rPr>
          <w:lang w:val="en-US"/>
        </w:rPr>
        <w:t xml:space="preserve"> which can be used for mapping to backhaul RLC channels</w:t>
      </w:r>
      <w:r w:rsidR="003F7F2D" w:rsidRPr="001327AF">
        <w:rPr>
          <w:lang w:val="en-US"/>
        </w:rPr>
        <w:t xml:space="preserve">. </w:t>
      </w:r>
    </w:p>
    <w:p w14:paraId="5DC33B63" w14:textId="2EE20024" w:rsidR="00DE3323" w:rsidRPr="001327AF" w:rsidRDefault="0095033F" w:rsidP="003F7F2D">
      <w:pPr>
        <w:rPr>
          <w:rFonts w:ascii="Times New Roman" w:hAnsi="Times New Roman"/>
          <w:lang w:val="en-US" w:eastAsia="en-GB"/>
        </w:rPr>
      </w:pPr>
      <w:r w:rsidRPr="001327AF">
        <w:rPr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99.5pt" o:ole="">
            <v:imagedata r:id="rId14" o:title=""/>
          </v:shape>
          <o:OLEObject Type="Embed" ProgID="Visio.Drawing.15" ShapeID="_x0000_i1025" DrawAspect="Content" ObjectID="_1611692072" r:id="rId15"/>
        </w:object>
      </w:r>
    </w:p>
    <w:p w14:paraId="7A86EC27" w14:textId="41E2A59B" w:rsidR="00DE3323" w:rsidRPr="00C20A53" w:rsidRDefault="00C20A53" w:rsidP="00C20A53">
      <w:pPr>
        <w:jc w:val="center"/>
        <w:rPr>
          <w:rFonts w:cs="Arial"/>
          <w:b/>
          <w:lang w:val="en-US" w:eastAsia="en-GB"/>
        </w:rPr>
      </w:pPr>
      <w:r>
        <w:rPr>
          <w:rFonts w:cs="Arial"/>
          <w:b/>
          <w:lang w:val="en-US" w:eastAsia="en-GB"/>
        </w:rPr>
        <w:t xml:space="preserve">Figure1: </w:t>
      </w:r>
      <w:r w:rsidRPr="00C20A53">
        <w:rPr>
          <w:rFonts w:cs="Arial"/>
          <w:b/>
          <w:lang w:val="en-US" w:eastAsia="en-GB"/>
        </w:rPr>
        <w:t xml:space="preserve">Support for LTE </w:t>
      </w:r>
      <w:r>
        <w:rPr>
          <w:rFonts w:cs="Arial"/>
          <w:b/>
          <w:lang w:val="en-US" w:eastAsia="en-GB"/>
        </w:rPr>
        <w:t>d</w:t>
      </w:r>
      <w:r w:rsidRPr="00C20A53">
        <w:rPr>
          <w:rFonts w:cs="Arial"/>
          <w:b/>
          <w:lang w:val="en-US" w:eastAsia="en-GB"/>
        </w:rPr>
        <w:t xml:space="preserve">eployment at IAB </w:t>
      </w:r>
      <w:r>
        <w:rPr>
          <w:rFonts w:cs="Arial"/>
          <w:b/>
          <w:lang w:val="en-US" w:eastAsia="en-GB"/>
        </w:rPr>
        <w:t>n</w:t>
      </w:r>
      <w:r w:rsidRPr="00C20A53">
        <w:rPr>
          <w:rFonts w:cs="Arial"/>
          <w:b/>
          <w:lang w:val="en-US" w:eastAsia="en-GB"/>
        </w:rPr>
        <w:t xml:space="preserve">ode </w:t>
      </w:r>
      <w:r>
        <w:rPr>
          <w:rFonts w:cs="Arial"/>
          <w:b/>
          <w:lang w:val="en-US" w:eastAsia="en-GB"/>
        </w:rPr>
        <w:t>s</w:t>
      </w:r>
      <w:r w:rsidRPr="00C20A53">
        <w:rPr>
          <w:rFonts w:cs="Arial"/>
          <w:b/>
          <w:lang w:val="en-US" w:eastAsia="en-GB"/>
        </w:rPr>
        <w:t>ites</w:t>
      </w:r>
    </w:p>
    <w:p w14:paraId="07EF209A" w14:textId="0813439D" w:rsidR="00825562" w:rsidRPr="001327AF" w:rsidRDefault="000A220A" w:rsidP="003F7F2D">
      <w:pPr>
        <w:rPr>
          <w:lang w:val="en-US"/>
        </w:rPr>
      </w:pPr>
      <w:r w:rsidRPr="001327AF">
        <w:rPr>
          <w:lang w:val="en-US"/>
        </w:rPr>
        <w:t xml:space="preserve">The architecture can also support backhauling of split LTE eNBs </w:t>
      </w:r>
      <w:r w:rsidR="005855F7" w:rsidRPr="001327AF">
        <w:rPr>
          <w:lang w:val="en-US"/>
        </w:rPr>
        <w:t xml:space="preserve">supporting W1 interface where only the DU part is terminated </w:t>
      </w:r>
      <w:r w:rsidR="00932D2D" w:rsidRPr="001327AF">
        <w:rPr>
          <w:lang w:val="en-US"/>
        </w:rPr>
        <w:t xml:space="preserve">at the IAB site. </w:t>
      </w:r>
      <w:r w:rsidR="00825562">
        <w:rPr>
          <w:lang w:val="en-US"/>
        </w:rPr>
        <w:t xml:space="preserve">No additional specification work is needed to support LTE backhauling. </w:t>
      </w:r>
    </w:p>
    <w:p w14:paraId="74C7E385" w14:textId="77777777" w:rsidR="00DE3323" w:rsidRPr="001327AF" w:rsidRDefault="00DE3323" w:rsidP="003F7F2D">
      <w:pPr>
        <w:rPr>
          <w:rFonts w:ascii="Times New Roman" w:hAnsi="Times New Roman"/>
          <w:lang w:val="en-US" w:eastAsia="en-GB"/>
        </w:rPr>
      </w:pPr>
    </w:p>
    <w:p w14:paraId="13DA9481" w14:textId="437FD601" w:rsidR="00F33C7D" w:rsidRPr="001327AF" w:rsidRDefault="00F33C7D" w:rsidP="00F33C7D">
      <w:pPr>
        <w:rPr>
          <w:lang w:val="en-US"/>
        </w:rPr>
      </w:pPr>
    </w:p>
    <w:p w14:paraId="76B7A004" w14:textId="4BE76286" w:rsidR="00DA6382" w:rsidRDefault="00562C12" w:rsidP="00DA6382">
      <w:pPr>
        <w:pStyle w:val="Proposal"/>
        <w:rPr>
          <w:lang w:val="en-US"/>
        </w:rPr>
      </w:pPr>
      <w:bookmarkStart w:id="2" w:name="_Toc772331"/>
      <w:r>
        <w:rPr>
          <w:lang w:val="en-US"/>
        </w:rPr>
        <w:t xml:space="preserve">LTE </w:t>
      </w:r>
      <w:r w:rsidR="0032349C">
        <w:rPr>
          <w:lang w:val="en-US"/>
        </w:rPr>
        <w:t>backhauling should be supported in Rel-16 by IAB nodes providing IP/Eth. connectivity to LTE eNBs</w:t>
      </w:r>
      <w:r w:rsidR="00836371">
        <w:rPr>
          <w:lang w:val="en-US"/>
        </w:rPr>
        <w:t xml:space="preserve"> (or LTE DUs).</w:t>
      </w:r>
      <w:r w:rsidR="00A138B2">
        <w:rPr>
          <w:lang w:val="en-US"/>
        </w:rPr>
        <w:t xml:space="preserve"> The IP anchor point for the LTE nodes can be supported in the Donor DU.</w:t>
      </w:r>
      <w:bookmarkEnd w:id="2"/>
    </w:p>
    <w:p w14:paraId="55FEEBBD" w14:textId="06BB9D47" w:rsidR="00836371" w:rsidRDefault="00836371" w:rsidP="00DA6382">
      <w:pPr>
        <w:pStyle w:val="Proposal"/>
        <w:rPr>
          <w:lang w:val="en-US"/>
        </w:rPr>
      </w:pPr>
      <w:bookmarkStart w:id="3" w:name="_Toc772332"/>
      <w:r>
        <w:rPr>
          <w:lang w:val="en-US"/>
        </w:rPr>
        <w:t xml:space="preserve">QoS support for LTE traffic should be supported using DSCP </w:t>
      </w:r>
      <w:r w:rsidRPr="00836371">
        <w:rPr>
          <w:lang w:val="en-US"/>
        </w:rPr>
        <w:sym w:font="Wingdings" w:char="F0F3"/>
      </w:r>
      <w:r>
        <w:rPr>
          <w:lang w:val="en-US"/>
        </w:rPr>
        <w:t xml:space="preserve"> RLC bearer mapping in the IAB node and Donor DU.</w:t>
      </w:r>
      <w:bookmarkEnd w:id="3"/>
      <w:r>
        <w:rPr>
          <w:lang w:val="en-US"/>
        </w:rPr>
        <w:t xml:space="preserve"> </w:t>
      </w:r>
    </w:p>
    <w:p w14:paraId="668D642A" w14:textId="0E4A3F91" w:rsidR="00A138B2" w:rsidRPr="001327AF" w:rsidRDefault="00A138B2" w:rsidP="00DA6382">
      <w:pPr>
        <w:pStyle w:val="Proposal"/>
        <w:rPr>
          <w:lang w:val="en-US"/>
        </w:rPr>
      </w:pPr>
      <w:bookmarkStart w:id="4" w:name="_Toc772333"/>
      <w:r>
        <w:rPr>
          <w:lang w:val="en-US"/>
        </w:rPr>
        <w:t>IP address management can be provided to the LTE nodes using DHCP, e.g. where the IAB node act as a DHCP relay.</w:t>
      </w:r>
      <w:bookmarkEnd w:id="4"/>
    </w:p>
    <w:p w14:paraId="47BB0CDE" w14:textId="77777777" w:rsidR="00B256CD" w:rsidRPr="001327AF" w:rsidRDefault="00B256CD" w:rsidP="00B256CD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</w:p>
    <w:p w14:paraId="293D5A1D" w14:textId="21796028" w:rsidR="004000E8" w:rsidRPr="001327AF" w:rsidRDefault="007206FB" w:rsidP="00CE0424">
      <w:pPr>
        <w:pStyle w:val="Heading1"/>
        <w:rPr>
          <w:lang w:val="en-US"/>
        </w:rPr>
      </w:pPr>
      <w:r w:rsidRPr="001327AF">
        <w:rPr>
          <w:lang w:val="en-US"/>
        </w:rPr>
        <w:t>Conclusions</w:t>
      </w:r>
    </w:p>
    <w:p w14:paraId="666C01DB" w14:textId="77777777" w:rsidR="005738C8" w:rsidRPr="001327AF" w:rsidRDefault="005738C8" w:rsidP="005738C8">
      <w:pPr>
        <w:pStyle w:val="TOC1"/>
        <w:rPr>
          <w:b w:val="0"/>
          <w:noProof w:val="0"/>
        </w:rPr>
      </w:pPr>
      <w:r w:rsidRPr="001327AF">
        <w:rPr>
          <w:b w:val="0"/>
          <w:noProof w:val="0"/>
        </w:rPr>
        <w:t>Based on the discussion in earlier sections we propose the following:</w:t>
      </w:r>
    </w:p>
    <w:p w14:paraId="327B2123" w14:textId="77777777" w:rsidR="00A138B2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327AF">
        <w:rPr>
          <w:b w:val="0"/>
          <w:bCs/>
          <w:noProof w:val="0"/>
        </w:rPr>
        <w:fldChar w:fldCharType="begin"/>
      </w:r>
      <w:r w:rsidRPr="001327AF">
        <w:rPr>
          <w:bCs/>
          <w:noProof w:val="0"/>
        </w:rPr>
        <w:instrText xml:space="preserve"> TOC \f \n \p " " \t "Proposal;1" </w:instrText>
      </w:r>
      <w:r w:rsidRPr="001327AF">
        <w:rPr>
          <w:b w:val="0"/>
          <w:bCs/>
          <w:noProof w:val="0"/>
        </w:rPr>
        <w:fldChar w:fldCharType="separate"/>
      </w:r>
      <w:r w:rsidR="00A138B2" w:rsidRPr="003B605A">
        <w:t>Proposal 1</w:t>
      </w:r>
      <w:r w:rsidR="00A138B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138B2" w:rsidRPr="003B605A">
        <w:t>LTE backhauling should be supported in Rel-16 by IAB nodes providing IP/Eth. connectivity to LTE eNBs (or LTE DUs). The IP anchor point for the LTE nodes can be supported in the Donor DU.</w:t>
      </w:r>
    </w:p>
    <w:p w14:paraId="38B31BC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 xml:space="preserve">QoS support for LTE traffic should be supported using DSCP </w:t>
      </w:r>
      <w:r w:rsidRPr="00836371">
        <w:sym w:font="Wingdings" w:char="F0F3"/>
      </w:r>
      <w:r w:rsidRPr="003B605A">
        <w:t xml:space="preserve"> RLC bearer mapping in the IAB node and Donor DU.</w:t>
      </w:r>
    </w:p>
    <w:p w14:paraId="4A3D4F8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>IP address management can be provided to the LTE nodes using DHCP, e.g. where the IAB node act as a DHCP relay.</w:t>
      </w:r>
    </w:p>
    <w:p w14:paraId="00DD87CF" w14:textId="5810E8AB" w:rsidR="005738C8" w:rsidRDefault="005738C8" w:rsidP="00AA0471">
      <w:pPr>
        <w:rPr>
          <w:lang w:val="en-US"/>
        </w:rPr>
      </w:pPr>
      <w:r w:rsidRPr="001327AF">
        <w:rPr>
          <w:lang w:val="en-US"/>
        </w:rPr>
        <w:fldChar w:fldCharType="end"/>
      </w:r>
    </w:p>
    <w:p w14:paraId="1BBAC14A" w14:textId="6695ED33" w:rsidR="007213F2" w:rsidRDefault="007213F2" w:rsidP="00AA0471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363E777A" w14:textId="195877DD" w:rsidR="00610DB3" w:rsidRPr="00772E0E" w:rsidRDefault="00610DB3" w:rsidP="00610DB3">
      <w:r w:rsidRPr="00772E0E">
        <w:t>[1] R</w:t>
      </w:r>
      <w:r w:rsidR="00231C4F">
        <w:t>3</w:t>
      </w:r>
      <w:r w:rsidRPr="00772E0E">
        <w:t>-</w:t>
      </w:r>
      <w:r w:rsidR="006F58B0" w:rsidRPr="00772E0E">
        <w:t>190</w:t>
      </w:r>
      <w:r w:rsidR="00231C4F">
        <w:t>352</w:t>
      </w:r>
      <w:r w:rsidR="00772E0E" w:rsidRPr="00772E0E">
        <w:t>;</w:t>
      </w:r>
      <w:r w:rsidRPr="00772E0E">
        <w:t xml:space="preserve"> </w:t>
      </w:r>
      <w:r w:rsidR="00F07B58">
        <w:t>“</w:t>
      </w:r>
      <w:r w:rsidR="00772E0E" w:rsidRPr="00772E0E">
        <w:rPr>
          <w:rFonts w:cs="Arial"/>
          <w:color w:val="333333"/>
          <w:sz w:val="21"/>
          <w:szCs w:val="21"/>
          <w:lang w:val="en"/>
        </w:rPr>
        <w:t>IP Address Assignment for IAB Nodes</w:t>
      </w:r>
      <w:r w:rsidR="00F07B58">
        <w:rPr>
          <w:rFonts w:cs="Arial"/>
          <w:color w:val="333333"/>
          <w:sz w:val="21"/>
          <w:szCs w:val="21"/>
          <w:lang w:val="en"/>
        </w:rPr>
        <w:t>”</w:t>
      </w:r>
      <w:r w:rsidRPr="00772E0E">
        <w:t>, Ericsson, RAN</w:t>
      </w:r>
      <w:r w:rsidR="00231C4F">
        <w:t>3</w:t>
      </w:r>
      <w:r w:rsidRPr="00772E0E">
        <w:t>#10</w:t>
      </w:r>
      <w:r w:rsidR="00231C4F">
        <w:t>3</w:t>
      </w:r>
      <w:r w:rsidR="00A853CA">
        <w:t>, February 2019</w:t>
      </w:r>
      <w:r w:rsidR="00772E0E" w:rsidRPr="00772E0E">
        <w:t>.</w:t>
      </w:r>
    </w:p>
    <w:p w14:paraId="157A433D" w14:textId="3248D9A8" w:rsidR="00610DB3" w:rsidRDefault="00610DB3" w:rsidP="00610DB3">
      <w:pPr>
        <w:rPr>
          <w:highlight w:val="yellow"/>
        </w:rPr>
      </w:pPr>
    </w:p>
    <w:p w14:paraId="20B9BC02" w14:textId="77777777" w:rsidR="007213F2" w:rsidRPr="00610DB3" w:rsidRDefault="007213F2" w:rsidP="00AA0471">
      <w:pPr>
        <w:rPr>
          <w:b/>
        </w:rPr>
      </w:pPr>
    </w:p>
    <w:sectPr w:rsidR="007213F2" w:rsidRPr="00610DB3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B5246" w14:textId="77777777" w:rsidR="006327D7" w:rsidRDefault="006327D7">
      <w:r>
        <w:separator/>
      </w:r>
    </w:p>
  </w:endnote>
  <w:endnote w:type="continuationSeparator" w:id="0">
    <w:p w14:paraId="75453227" w14:textId="77777777" w:rsidR="006327D7" w:rsidRDefault="0063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E426F" w14:textId="77777777" w:rsidR="006327D7" w:rsidRDefault="006327D7">
      <w:r>
        <w:separator/>
      </w:r>
    </w:p>
  </w:footnote>
  <w:footnote w:type="continuationSeparator" w:id="0">
    <w:p w14:paraId="15D3D48A" w14:textId="77777777" w:rsidR="006327D7" w:rsidRDefault="0063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1EE4"/>
    <w:rsid w:val="001659C1"/>
    <w:rsid w:val="00173A8E"/>
    <w:rsid w:val="00177732"/>
    <w:rsid w:val="00177795"/>
    <w:rsid w:val="0018143F"/>
    <w:rsid w:val="0018198C"/>
    <w:rsid w:val="0019011B"/>
    <w:rsid w:val="00190AC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1C4F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04E2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7D7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3A0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0F61"/>
    <w:rsid w:val="007B3D2D"/>
    <w:rsid w:val="007B50AE"/>
    <w:rsid w:val="007B51DF"/>
    <w:rsid w:val="007B6ABB"/>
    <w:rsid w:val="007C05DD"/>
    <w:rsid w:val="007C243D"/>
    <w:rsid w:val="007C3D18"/>
    <w:rsid w:val="007C3D5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40D6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3EBA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9F765B"/>
    <w:rsid w:val="00A00BCB"/>
    <w:rsid w:val="00A03166"/>
    <w:rsid w:val="00A0343E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53C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40CC3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07B58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0D76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5NUHHDQN7SK2-1476151046-41758</_dlc_DocId>
    <_dlc_DocIdUrl xmlns="f166a696-7b5b-4ccd-9f0c-ffde0cceec81">
      <Url>https://ericsson.sharepoint.com/sites/star/_layouts/15/DocIdRedir.aspx?ID=5NUHHDQN7SK2-1476151046-41758</Url>
      <Description>5NUHHDQN7SK2-1476151046-41758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1FFC47F-9421-4290-91B5-08C2040E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108</TotalTime>
  <Pages>2</Pages>
  <Words>464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71</cp:revision>
  <cp:lastPrinted>2008-01-31T16:09:00Z</cp:lastPrinted>
  <dcterms:created xsi:type="dcterms:W3CDTF">2019-02-07T12:19:00Z</dcterms:created>
  <dcterms:modified xsi:type="dcterms:W3CDTF">2019-02-14T22:28:00Z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70ece6e5-37df-43c8-9fe0-3a5ea3b13408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</Properties>
</file>